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48D2E99C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6965A4">
        <w:rPr>
          <w:b/>
          <w:sz w:val="24"/>
          <w:szCs w:val="24"/>
          <w:lang w:val="ru-RU"/>
        </w:rPr>
        <w:t>1</w:t>
      </w:r>
      <w:r w:rsidR="00320D37">
        <w:rPr>
          <w:b/>
          <w:sz w:val="24"/>
          <w:szCs w:val="24"/>
          <w:lang w:val="ru-RU"/>
        </w:rPr>
        <w:t>3.10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320D37">
        <w:rPr>
          <w:b/>
          <w:sz w:val="24"/>
          <w:szCs w:val="24"/>
          <w:lang w:val="ru-RU"/>
        </w:rPr>
        <w:t>79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6EFAD75D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6965A4">
        <w:rPr>
          <w:sz w:val="24"/>
          <w:szCs w:val="24"/>
          <w:lang w:val="ru-RU"/>
        </w:rPr>
        <w:t>12.07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6965A4">
        <w:rPr>
          <w:sz w:val="24"/>
          <w:szCs w:val="24"/>
          <w:lang w:val="ru-RU"/>
        </w:rPr>
        <w:t>55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320D37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320D37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320D37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320D37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320D37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320D37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320D37" w:rsidRPr="00320D37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369AF982" w:rsidR="00320D37" w:rsidRPr="00765586" w:rsidRDefault="00320D37" w:rsidP="00320D3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1C0D3" w14:textId="77777777" w:rsidR="00320D37" w:rsidRPr="00765586" w:rsidRDefault="00320D37" w:rsidP="00320D37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541F472D" w14:textId="77777777" w:rsidR="00320D37" w:rsidRDefault="00320D37" w:rsidP="00320D37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7 122 101,15</w:t>
            </w:r>
            <w:r w:rsidRPr="006E4620">
              <w:rPr>
                <w:lang w:val="ru-RU"/>
              </w:rPr>
              <w:t xml:space="preserve"> руб., </w:t>
            </w:r>
          </w:p>
          <w:p w14:paraId="4EFA7219" w14:textId="77777777" w:rsidR="00320D37" w:rsidRDefault="00320D37" w:rsidP="00320D37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78F8005F" w14:textId="77777777" w:rsidR="00320D37" w:rsidRDefault="00320D37" w:rsidP="00320D3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888 172,45 руб.; </w:t>
            </w:r>
          </w:p>
          <w:p w14:paraId="5D332DCD" w14:textId="77777777" w:rsidR="00320D37" w:rsidRDefault="00320D37" w:rsidP="00320D3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6 016 904,</w:t>
            </w:r>
            <w:proofErr w:type="gramStart"/>
            <w:r>
              <w:rPr>
                <w:lang w:val="ru-RU"/>
              </w:rPr>
              <w:t xml:space="preserve">78  </w:t>
            </w:r>
            <w:r w:rsidRPr="00765586">
              <w:rPr>
                <w:lang w:val="ru-RU"/>
              </w:rPr>
              <w:t>руб.</w:t>
            </w:r>
            <w:proofErr w:type="gramEnd"/>
            <w:r w:rsidRPr="00765586">
              <w:rPr>
                <w:lang w:val="ru-RU"/>
              </w:rPr>
              <w:t>;</w:t>
            </w:r>
          </w:p>
          <w:p w14:paraId="0F7103E4" w14:textId="77777777" w:rsidR="00320D37" w:rsidRDefault="00320D37" w:rsidP="00320D3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7DAF0350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31 391,58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3E1F0AD3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47EF16BF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3A486BEA" w14:textId="77777777" w:rsidR="00320D37" w:rsidRPr="00641925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0760B146" w14:textId="77777777" w:rsidR="00320D37" w:rsidRPr="006E4620" w:rsidRDefault="00320D37" w:rsidP="00320D37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237D85ED" w14:textId="77777777" w:rsidR="00320D37" w:rsidRPr="006E4620" w:rsidRDefault="00320D37" w:rsidP="00320D37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3 309 313,33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2187911E" w:rsidR="00320D37" w:rsidRPr="00765586" w:rsidRDefault="00320D37" w:rsidP="00320D37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lastRenderedPageBreak/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lastRenderedPageBreak/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63580A05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3855116" w14:textId="6C8488B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37DB883" w14:textId="791C3FF2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BCE1642" w14:textId="7777777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320D37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320D37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320D37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320D37" w:rsidRPr="00320D37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191C183" w:rsidR="00320D37" w:rsidRPr="002A2DE2" w:rsidRDefault="00320D37" w:rsidP="00320D37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EE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2D805305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310 000,00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2EFDAC34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310 000,00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54C40202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8DECA0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25BBB78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150 000,00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320D37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320D37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320D37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320D37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320D37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320D37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320D37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320D37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320D37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320D37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320D37" w:rsidRPr="002A2DE2" w14:paraId="74B24B18" w14:textId="77777777" w:rsidTr="005814C5">
        <w:tc>
          <w:tcPr>
            <w:tcW w:w="562" w:type="dxa"/>
            <w:vMerge w:val="restart"/>
            <w:vAlign w:val="center"/>
          </w:tcPr>
          <w:p w14:paraId="2ECB0E67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3EF4493A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3CAA1EA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656775D6" w14:textId="77777777" w:rsidR="00320D37" w:rsidRPr="007E6651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D208C47" w14:textId="77777777" w:rsidR="00320D37" w:rsidRPr="007E6651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320D37" w:rsidRPr="002A2DE2" w14:paraId="0ED58302" w14:textId="77777777" w:rsidTr="005814C5">
        <w:tc>
          <w:tcPr>
            <w:tcW w:w="562" w:type="dxa"/>
            <w:vMerge/>
            <w:vAlign w:val="center"/>
          </w:tcPr>
          <w:p w14:paraId="76F7C69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1A8B484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6C60C480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75F543D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7F2F9E2B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60D3DB0B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3A8725EA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C6519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34973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389A344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20D37" w:rsidRPr="002A2DE2" w14:paraId="06841522" w14:textId="77777777" w:rsidTr="005814C5">
        <w:tc>
          <w:tcPr>
            <w:tcW w:w="562" w:type="dxa"/>
            <w:vAlign w:val="center"/>
          </w:tcPr>
          <w:p w14:paraId="300FA21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C944C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5E61A2D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2B13D0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7EA8A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19059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CF7E2B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CC19286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91EE4C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13CDA0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320D37" w:rsidRPr="002A2DE2" w14:paraId="3D0D4B70" w14:textId="77777777" w:rsidTr="005814C5">
        <w:tc>
          <w:tcPr>
            <w:tcW w:w="562" w:type="dxa"/>
            <w:vAlign w:val="center"/>
          </w:tcPr>
          <w:p w14:paraId="142B78BE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C3DE1F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F2D47F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572DCBFB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2F7377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116F365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8844182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4D1ED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493CF9B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159057C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5D8471C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15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320D37" w:rsidRPr="002A2DE2" w14:paraId="50513626" w14:textId="77777777" w:rsidTr="005814C5">
        <w:tc>
          <w:tcPr>
            <w:tcW w:w="562" w:type="dxa"/>
            <w:vAlign w:val="center"/>
          </w:tcPr>
          <w:p w14:paraId="4213DC5B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0EF972A4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AFC06B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B757D3E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552B27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094DA9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992B38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BFD8E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795332AE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7CC2D8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3EFB78A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80 000,0</w:t>
            </w:r>
          </w:p>
        </w:tc>
      </w:tr>
      <w:tr w:rsidR="00320D37" w:rsidRPr="002A2DE2" w14:paraId="0AD1D3BA" w14:textId="77777777" w:rsidTr="005814C5">
        <w:tc>
          <w:tcPr>
            <w:tcW w:w="562" w:type="dxa"/>
            <w:vAlign w:val="center"/>
          </w:tcPr>
          <w:p w14:paraId="56973D93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03220E37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C881757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1BF449C3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05BE90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ABCAC2A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325CEE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C7E5EE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70AF97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6B1028C2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65 000,0</w:t>
            </w:r>
          </w:p>
        </w:tc>
        <w:tc>
          <w:tcPr>
            <w:tcW w:w="1275" w:type="dxa"/>
            <w:vAlign w:val="center"/>
          </w:tcPr>
          <w:p w14:paraId="65F889F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39 000,0</w:t>
            </w:r>
          </w:p>
        </w:tc>
      </w:tr>
      <w:tr w:rsidR="00320D37" w:rsidRPr="002A2DE2" w14:paraId="43DA27CA" w14:textId="77777777" w:rsidTr="005814C5">
        <w:tc>
          <w:tcPr>
            <w:tcW w:w="562" w:type="dxa"/>
            <w:vAlign w:val="center"/>
          </w:tcPr>
          <w:p w14:paraId="2EB437E0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52D053C8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D2AFD78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154AA7F5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C1A20CB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4168EDD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178AF0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DDEED7E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C49C7BA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257FF2F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35 000,0</w:t>
            </w:r>
          </w:p>
        </w:tc>
        <w:tc>
          <w:tcPr>
            <w:tcW w:w="1275" w:type="dxa"/>
            <w:vAlign w:val="center"/>
          </w:tcPr>
          <w:p w14:paraId="38983FF3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30 000,0</w:t>
            </w:r>
          </w:p>
        </w:tc>
      </w:tr>
      <w:tr w:rsidR="00320D37" w:rsidRPr="007C37AC" w14:paraId="62A1D51E" w14:textId="77777777" w:rsidTr="005814C5">
        <w:trPr>
          <w:trHeight w:val="1654"/>
        </w:trPr>
        <w:tc>
          <w:tcPr>
            <w:tcW w:w="562" w:type="dxa"/>
            <w:vAlign w:val="center"/>
          </w:tcPr>
          <w:p w14:paraId="23355A6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50DA227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5B68410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4992E283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23088DF0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A39FB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D74B92D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1F0C279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C616E9A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50DCF132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471DF08B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320D37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320D37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320D37" w:rsidRPr="00320D37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0A32D3B4" w:rsidR="00320D37" w:rsidRPr="00765586" w:rsidRDefault="00320D37" w:rsidP="00320D3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A0345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426C4535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6 791008,13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4EA7E59C" w14:textId="77777777" w:rsidR="00320D37" w:rsidRPr="00765586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888 172,45руб.</w:t>
            </w:r>
          </w:p>
          <w:p w14:paraId="1A2065F8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5 685 811,76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67F49BD4" w14:textId="77777777" w:rsidR="00320D37" w:rsidRPr="00902D3D" w:rsidRDefault="00320D37" w:rsidP="00320D3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2E0B11D2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31 391,58руб;</w:t>
            </w:r>
          </w:p>
          <w:p w14:paraId="79B77E27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0F6F8858" w14:textId="77777777" w:rsidR="00320D37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44CE5A48" w14:textId="77777777" w:rsidR="00320D37" w:rsidRPr="00641925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3B6A4C7B" w14:textId="77777777" w:rsidR="00320D37" w:rsidRPr="00765586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7804D9BB" w14:textId="77777777" w:rsidR="00320D37" w:rsidRPr="00765586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3 209 313,33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6D21CCF9" w:rsidR="00320D37" w:rsidRPr="00765586" w:rsidRDefault="00320D37" w:rsidP="00320D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2DF31C8" w14:textId="77777777" w:rsidR="00057DAD" w:rsidRPr="00091301" w:rsidRDefault="00057DAD" w:rsidP="00057DA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57DAD">
        <w:rPr>
          <w:sz w:val="24"/>
          <w:szCs w:val="24"/>
          <w:lang w:val="ru-RU"/>
        </w:rPr>
        <w:t xml:space="preserve">Подпрограмма «Благоустройство территории» 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благоустройства территории </w:t>
      </w:r>
      <w:proofErr w:type="spellStart"/>
      <w:r w:rsidRPr="00057DAD">
        <w:rPr>
          <w:sz w:val="24"/>
          <w:szCs w:val="24"/>
          <w:lang w:val="ru-RU"/>
        </w:rPr>
        <w:t>Шилыковского</w:t>
      </w:r>
      <w:proofErr w:type="spellEnd"/>
      <w:r w:rsidRPr="00057DAD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области»,  утвержденными решением </w:t>
      </w:r>
      <w:r w:rsidRPr="00057DAD">
        <w:rPr>
          <w:sz w:val="24"/>
          <w:szCs w:val="24"/>
          <w:lang w:val="ru-RU"/>
        </w:rPr>
        <w:lastRenderedPageBreak/>
        <w:t xml:space="preserve">Совета </w:t>
      </w:r>
      <w:proofErr w:type="spellStart"/>
      <w:r w:rsidRPr="00057DAD">
        <w:rPr>
          <w:sz w:val="24"/>
          <w:szCs w:val="24"/>
          <w:lang w:val="ru-RU"/>
        </w:rPr>
        <w:t>Шилыковского</w:t>
      </w:r>
      <w:proofErr w:type="spellEnd"/>
      <w:r w:rsidRPr="00057DAD">
        <w:rPr>
          <w:sz w:val="24"/>
          <w:szCs w:val="24"/>
          <w:lang w:val="ru-RU"/>
        </w:rPr>
        <w:t xml:space="preserve"> сельского поселения №41 от 28.09.2017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lastRenderedPageBreak/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320D37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320D37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320D37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320D37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320D37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320D37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320D37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320D37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320D37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320D37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320D37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549706AE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40E813DB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224E9FD0" w14:textId="77777777" w:rsidR="0006685F" w:rsidRPr="004F5CD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320D37" w:rsidRPr="008F3251" w14:paraId="7F5BCF07" w14:textId="77777777" w:rsidTr="005814C5">
        <w:tc>
          <w:tcPr>
            <w:tcW w:w="675" w:type="dxa"/>
            <w:vMerge w:val="restart"/>
            <w:shd w:val="clear" w:color="auto" w:fill="auto"/>
          </w:tcPr>
          <w:p w14:paraId="22E190B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279C1D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40EAE5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2426FB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C5410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320D37" w:rsidRPr="007E6651" w14:paraId="26F8E1B8" w14:textId="77777777" w:rsidTr="005814C5">
        <w:tc>
          <w:tcPr>
            <w:tcW w:w="675" w:type="dxa"/>
            <w:vMerge/>
            <w:shd w:val="clear" w:color="auto" w:fill="auto"/>
          </w:tcPr>
          <w:p w14:paraId="00222F91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A87701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E3245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F57ECF" w14:textId="77777777" w:rsidR="00320D37" w:rsidRPr="00FC2F0D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EB260" w14:textId="77777777" w:rsidR="00320D37" w:rsidRPr="00FC2F0D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DEB4A" w14:textId="77777777" w:rsidR="00320D37" w:rsidRPr="00FC2F0D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82444" w14:textId="77777777" w:rsidR="00320D37" w:rsidRPr="00FC2F0D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408E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5D18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49C9D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320D37" w:rsidRPr="007E6651" w14:paraId="4DD9590E" w14:textId="77777777" w:rsidTr="005814C5">
        <w:tc>
          <w:tcPr>
            <w:tcW w:w="675" w:type="dxa"/>
            <w:shd w:val="clear" w:color="auto" w:fill="auto"/>
          </w:tcPr>
          <w:p w14:paraId="34F8098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2A92C7B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C05072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7F15D0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18AD64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64AF12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412481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63D1C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7C728C3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5179EF2C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20D37" w:rsidRPr="00B41C0D" w14:paraId="32D85DE3" w14:textId="77777777" w:rsidTr="005814C5">
        <w:tc>
          <w:tcPr>
            <w:tcW w:w="675" w:type="dxa"/>
            <w:shd w:val="clear" w:color="auto" w:fill="auto"/>
            <w:vAlign w:val="center"/>
          </w:tcPr>
          <w:p w14:paraId="263A416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EC0C06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1960278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62E98996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0311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7DA8F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850F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16728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4E011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84AE0A" w14:textId="77777777" w:rsidR="00320D37" w:rsidRDefault="00320D37" w:rsidP="005814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2A158283" w14:textId="77777777" w:rsidR="00320D37" w:rsidRDefault="00320D37" w:rsidP="005814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781 127,31</w:t>
            </w:r>
          </w:p>
          <w:p w14:paraId="163C9D01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5FF8C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500 000,0</w:t>
            </w:r>
          </w:p>
        </w:tc>
      </w:tr>
      <w:tr w:rsidR="00320D37" w:rsidRPr="008F3251" w14:paraId="7774C1DF" w14:textId="77777777" w:rsidTr="005814C5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19694A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8D16D35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5578058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8E36DA2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CC8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0C8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FD867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DC6F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65FD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386EBAF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514 302,00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0C5DB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320D37" w:rsidRPr="008F3251" w14:paraId="08CA8E1E" w14:textId="77777777" w:rsidTr="005814C5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553E7A47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8E5CFC8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610B45" w14:textId="77777777" w:rsidR="00320D37" w:rsidRPr="00FC2F0D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A00D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F7A2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EAEB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0ABC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4B6F61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8FC8D8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CED4E8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20D37" w:rsidRPr="008F3251" w14:paraId="7EAAEC2E" w14:textId="77777777" w:rsidTr="005814C5">
        <w:tc>
          <w:tcPr>
            <w:tcW w:w="675" w:type="dxa"/>
            <w:shd w:val="clear" w:color="auto" w:fill="auto"/>
            <w:vAlign w:val="center"/>
          </w:tcPr>
          <w:p w14:paraId="5DBAD37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4F4968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3BFF810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269C837D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D07AF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A40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DB07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835E7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A2E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87D61E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190 040,05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20F1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</w:tr>
      <w:tr w:rsidR="00320D37" w:rsidRPr="008F3251" w14:paraId="12723795" w14:textId="77777777" w:rsidTr="005814C5">
        <w:tc>
          <w:tcPr>
            <w:tcW w:w="675" w:type="dxa"/>
            <w:shd w:val="clear" w:color="auto" w:fill="auto"/>
            <w:vAlign w:val="center"/>
          </w:tcPr>
          <w:p w14:paraId="7E338B5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752801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B8C660A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74333F88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9438F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1A83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FACD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659A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9E8D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C6F23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76 785,26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663D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80 000,0</w:t>
            </w:r>
          </w:p>
        </w:tc>
      </w:tr>
      <w:tr w:rsidR="00320D37" w:rsidRPr="00B41C0D" w14:paraId="21C40931" w14:textId="77777777" w:rsidTr="005814C5">
        <w:tc>
          <w:tcPr>
            <w:tcW w:w="675" w:type="dxa"/>
            <w:shd w:val="clear" w:color="auto" w:fill="auto"/>
            <w:vAlign w:val="center"/>
          </w:tcPr>
          <w:p w14:paraId="42CB133D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ADE946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41DADB4D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041BEDA5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8902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F37B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9DBAC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D2E0D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C7707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4EF3E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1 381 800,00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FACC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320D37" w:rsidRPr="008F3251" w14:paraId="0855391A" w14:textId="77777777" w:rsidTr="005814C5">
        <w:tc>
          <w:tcPr>
            <w:tcW w:w="675" w:type="dxa"/>
            <w:shd w:val="clear" w:color="auto" w:fill="auto"/>
            <w:vAlign w:val="center"/>
          </w:tcPr>
          <w:p w14:paraId="78A152E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5FF620F0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05A79DF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2A021BF5" w14:textId="77777777" w:rsidR="00320D37" w:rsidRPr="00FC2F0D" w:rsidRDefault="00320D37" w:rsidP="005814C5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74579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0EF0E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F9320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BFE74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9217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0A500E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933 800,0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DD870" w14:textId="77777777" w:rsidR="00320D37" w:rsidRPr="007902D8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320D37" w:rsidRPr="00F71473" w14:paraId="435EC933" w14:textId="77777777" w:rsidTr="005814C5">
        <w:tc>
          <w:tcPr>
            <w:tcW w:w="675" w:type="dxa"/>
            <w:shd w:val="clear" w:color="auto" w:fill="auto"/>
            <w:vAlign w:val="center"/>
          </w:tcPr>
          <w:p w14:paraId="487C60F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66A0478E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DE60767" w14:textId="77777777" w:rsidR="00320D37" w:rsidRPr="00FC2F0D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6CB6B4B6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F901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7CACC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BEB6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2622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B36B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1EE390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ED71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320D37" w:rsidRPr="00430BAE" w14:paraId="2BA05589" w14:textId="77777777" w:rsidTr="005814C5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265991AE" w14:textId="77777777" w:rsidR="00320D37" w:rsidRPr="000A5F70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5536861E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7C418CC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28F8132B" w14:textId="77777777" w:rsidR="00320D37" w:rsidRPr="00FC2F0D" w:rsidRDefault="00320D37" w:rsidP="005814C5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40FEB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38628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E99E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3FA6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B25ED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85AD86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BCE9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60 000,00</w:t>
            </w:r>
          </w:p>
        </w:tc>
      </w:tr>
      <w:tr w:rsidR="00320D37" w:rsidRPr="008B0A46" w14:paraId="0D07B798" w14:textId="77777777" w:rsidTr="005814C5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0FE3FD7" w14:textId="77777777" w:rsidR="00320D37" w:rsidRPr="000A5F70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4E3DF83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65029E92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08A3C27" w14:textId="77777777" w:rsidR="00320D37" w:rsidRDefault="00320D37" w:rsidP="005814C5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42327A56" w14:textId="77777777" w:rsidR="00320D37" w:rsidRPr="00FC2F0D" w:rsidRDefault="00320D37" w:rsidP="005814C5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C0ABD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B1CE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5E7B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6C340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D4672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9342EE0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70856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38E623C0" w14:textId="77777777" w:rsidTr="005814C5">
        <w:tc>
          <w:tcPr>
            <w:tcW w:w="675" w:type="dxa"/>
            <w:vMerge/>
            <w:shd w:val="clear" w:color="auto" w:fill="auto"/>
            <w:vAlign w:val="center"/>
          </w:tcPr>
          <w:p w14:paraId="7C1AE85B" w14:textId="77777777" w:rsidR="00320D37" w:rsidRPr="000A5F70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F50D65B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3C3F18" w14:textId="77777777" w:rsidR="00320D37" w:rsidRPr="00FC2F0D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4D53FC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BC356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19D72" w14:textId="77777777" w:rsidR="00320D37" w:rsidRPr="00177CA4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20B23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206B3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297B15B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BCFF7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12620558" w14:textId="77777777" w:rsidTr="005814C5">
        <w:tc>
          <w:tcPr>
            <w:tcW w:w="675" w:type="dxa"/>
            <w:vMerge/>
            <w:shd w:val="clear" w:color="auto" w:fill="auto"/>
            <w:vAlign w:val="center"/>
          </w:tcPr>
          <w:p w14:paraId="6FF6619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A0B3D84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C43D26E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ECD23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9D61C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7BE40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A5B11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46F65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F255D4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35B4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4BF749D2" w14:textId="77777777" w:rsidTr="005814C5">
        <w:tc>
          <w:tcPr>
            <w:tcW w:w="675" w:type="dxa"/>
            <w:vMerge/>
            <w:shd w:val="clear" w:color="auto" w:fill="auto"/>
            <w:vAlign w:val="center"/>
          </w:tcPr>
          <w:p w14:paraId="5573C42E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539EFED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AB6416C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F89C69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52942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C9CE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BE7D1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902B0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1E8D189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6BBB4610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BD717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195CD4" w14:paraId="2AFCB4E8" w14:textId="77777777" w:rsidTr="005814C5">
        <w:tc>
          <w:tcPr>
            <w:tcW w:w="675" w:type="dxa"/>
            <w:vMerge/>
            <w:shd w:val="clear" w:color="auto" w:fill="auto"/>
            <w:vAlign w:val="center"/>
          </w:tcPr>
          <w:p w14:paraId="68D7ED88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EC057FE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3FC8017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CAE3DF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C30B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B5F74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B28C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34A54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E72519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21870CD8" w14:textId="77777777" w:rsidR="00320D37" w:rsidRPr="00195CD4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48F5D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320D37" w:rsidRPr="00430BAE" w14:paraId="00DE3539" w14:textId="77777777" w:rsidTr="005814C5">
        <w:tc>
          <w:tcPr>
            <w:tcW w:w="675" w:type="dxa"/>
            <w:vMerge w:val="restart"/>
            <w:shd w:val="clear" w:color="auto" w:fill="auto"/>
            <w:vAlign w:val="center"/>
          </w:tcPr>
          <w:p w14:paraId="3BB5051E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A922BC3" w14:textId="77777777" w:rsidR="00320D37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4A5A5D7" w14:textId="77777777" w:rsidR="00320D37" w:rsidRPr="000A5F70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21D80652" w14:textId="77777777" w:rsidR="00320D37" w:rsidRDefault="00320D37" w:rsidP="005814C5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77729C3" w14:textId="77777777" w:rsidR="00320D37" w:rsidRPr="007876FE" w:rsidRDefault="00320D37" w:rsidP="005814C5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318A23F6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92739B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9AF9D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2FD9D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8593D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42D89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A3B956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9E68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61558430" w14:textId="77777777" w:rsidTr="005814C5">
        <w:tc>
          <w:tcPr>
            <w:tcW w:w="675" w:type="dxa"/>
            <w:vMerge/>
            <w:shd w:val="clear" w:color="auto" w:fill="auto"/>
            <w:vAlign w:val="center"/>
          </w:tcPr>
          <w:p w14:paraId="67AC6D33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CE61EC9" w14:textId="77777777" w:rsidR="00320D37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37E17C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D20B12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F6DC9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383FE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BAE86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2F8E9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203DF42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8ADEF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5D7B8950" w14:textId="77777777" w:rsidTr="005814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8BD0187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5F05495" w14:textId="77777777" w:rsidR="00320D37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E9CF58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41625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2659A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0AED1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F7B04" w14:textId="77777777" w:rsidR="00320D37" w:rsidRPr="00FC2F0D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F224A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04368EC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351CD8C3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47F11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20D37" w:rsidRPr="00430BAE" w14:paraId="26A11546" w14:textId="77777777" w:rsidTr="005814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674FAF9B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710BC93" w14:textId="77777777" w:rsidR="00320D37" w:rsidRDefault="00320D37" w:rsidP="005814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1F497D" w14:textId="77777777" w:rsidR="00320D37" w:rsidRPr="007876FE" w:rsidRDefault="00320D37" w:rsidP="005814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32471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9C955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DAA40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95A6C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EE721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65CD9B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4A8D8D72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83BF6" w14:textId="77777777" w:rsidR="00320D37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056E7784" w14:textId="77777777" w:rsidR="0006685F" w:rsidRPr="00661802" w:rsidRDefault="0006685F" w:rsidP="0006685F">
      <w:pPr>
        <w:pStyle w:val="a3"/>
        <w:ind w:right="221"/>
        <w:jc w:val="both"/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5BE7B405" w14:textId="77777777" w:rsidR="0006685F" w:rsidRDefault="0006685F" w:rsidP="0006685F">
      <w:pPr>
        <w:rPr>
          <w:lang w:val="ru-RU"/>
        </w:rPr>
      </w:pPr>
    </w:p>
    <w:p w14:paraId="78F323D2" w14:textId="77777777" w:rsidR="0006685F" w:rsidRDefault="0006685F" w:rsidP="0006685F">
      <w:pPr>
        <w:rPr>
          <w:lang w:val="ru-RU"/>
        </w:rPr>
      </w:pPr>
    </w:p>
    <w:p w14:paraId="277BD60B" w14:textId="77777777" w:rsidR="0006685F" w:rsidRDefault="0006685F" w:rsidP="0006685F">
      <w:pPr>
        <w:rPr>
          <w:lang w:val="ru-RU"/>
        </w:rPr>
      </w:pPr>
    </w:p>
    <w:p w14:paraId="281D6A9F" w14:textId="77777777" w:rsidR="0006685F" w:rsidRDefault="0006685F" w:rsidP="0006685F">
      <w:pPr>
        <w:rPr>
          <w:lang w:val="ru-RU"/>
        </w:rPr>
      </w:pPr>
    </w:p>
    <w:p w14:paraId="0020C090" w14:textId="77777777" w:rsidR="00254BD2" w:rsidRDefault="00254BD2" w:rsidP="0006685F">
      <w:pPr>
        <w:rPr>
          <w:lang w:val="ru-RU"/>
        </w:rPr>
      </w:pPr>
    </w:p>
    <w:p w14:paraId="1F69A3E7" w14:textId="77777777" w:rsidR="00254BD2" w:rsidRDefault="00254BD2" w:rsidP="0006685F">
      <w:pPr>
        <w:rPr>
          <w:lang w:val="ru-RU"/>
        </w:rPr>
      </w:pPr>
    </w:p>
    <w:p w14:paraId="45162250" w14:textId="77777777" w:rsidR="00254BD2" w:rsidRDefault="00254BD2" w:rsidP="0006685F">
      <w:pPr>
        <w:rPr>
          <w:lang w:val="ru-RU"/>
        </w:rPr>
      </w:pPr>
    </w:p>
    <w:p w14:paraId="160C6440" w14:textId="77777777" w:rsidR="00254BD2" w:rsidRDefault="00254BD2" w:rsidP="0006685F">
      <w:pPr>
        <w:rPr>
          <w:lang w:val="ru-RU"/>
        </w:rPr>
      </w:pPr>
    </w:p>
    <w:p w14:paraId="6593EB2C" w14:textId="738F3696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320D37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320D37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320D37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320D37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320D37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320D37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320D37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320D37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320D37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320D37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320D37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320D37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320D37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320D37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320D37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320D37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320D37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320D37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320D37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320D37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320D37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94F1" w14:textId="77777777" w:rsidR="009B630C" w:rsidRDefault="009B630C" w:rsidP="005C7010">
      <w:r>
        <w:separator/>
      </w:r>
    </w:p>
  </w:endnote>
  <w:endnote w:type="continuationSeparator" w:id="0">
    <w:p w14:paraId="6B506703" w14:textId="77777777" w:rsidR="009B630C" w:rsidRDefault="009B630C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5B01" w14:textId="77777777" w:rsidR="009B630C" w:rsidRDefault="009B630C" w:rsidP="005C7010">
      <w:r>
        <w:separator/>
      </w:r>
    </w:p>
  </w:footnote>
  <w:footnote w:type="continuationSeparator" w:id="0">
    <w:p w14:paraId="321885AE" w14:textId="77777777" w:rsidR="009B630C" w:rsidRDefault="009B630C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0D3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0413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39</Pages>
  <Words>10070</Words>
  <Characters>57402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70</cp:revision>
  <cp:lastPrinted>2022-01-17T12:57:00Z</cp:lastPrinted>
  <dcterms:created xsi:type="dcterms:W3CDTF">2018-06-28T08:50:00Z</dcterms:created>
  <dcterms:modified xsi:type="dcterms:W3CDTF">2022-10-17T06:26:00Z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